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247" w:rsidRDefault="00612631" w:rsidP="00CF79CC">
      <w:pPr>
        <w:spacing w:after="0"/>
        <w:jc w:val="center"/>
      </w:pPr>
      <w:r>
        <w:t>MCCDEC</w:t>
      </w:r>
    </w:p>
    <w:p w:rsidR="0023678D" w:rsidRDefault="0023678D" w:rsidP="00CF79CC">
      <w:pPr>
        <w:spacing w:after="0"/>
        <w:jc w:val="center"/>
      </w:pPr>
      <w:r>
        <w:t>August 1, 2016</w:t>
      </w:r>
    </w:p>
    <w:p w:rsidR="00612631" w:rsidRDefault="00612631" w:rsidP="00612631">
      <w:pPr>
        <w:jc w:val="center"/>
      </w:pPr>
    </w:p>
    <w:p w:rsidR="00612631" w:rsidRPr="00A62F40" w:rsidRDefault="00612631" w:rsidP="00612631">
      <w:pPr>
        <w:pStyle w:val="ListParagraph"/>
        <w:numPr>
          <w:ilvl w:val="0"/>
          <w:numId w:val="1"/>
        </w:numPr>
        <w:rPr>
          <w:b/>
          <w:u w:val="single"/>
        </w:rPr>
      </w:pPr>
      <w:r w:rsidRPr="00A62F40">
        <w:rPr>
          <w:b/>
          <w:u w:val="single"/>
        </w:rPr>
        <w:t>Perkins Reauthorization</w:t>
      </w:r>
    </w:p>
    <w:p w:rsidR="009411BC" w:rsidRDefault="009411BC" w:rsidP="009411BC">
      <w:pPr>
        <w:pStyle w:val="ListParagraph"/>
        <w:numPr>
          <w:ilvl w:val="1"/>
          <w:numId w:val="1"/>
        </w:numPr>
      </w:pPr>
      <w:r w:rsidRPr="00A973EA">
        <w:rPr>
          <w:b/>
        </w:rPr>
        <w:t>Accountability</w:t>
      </w:r>
      <w:r>
        <w:t>:</w:t>
      </w:r>
    </w:p>
    <w:p w:rsidR="00C23542" w:rsidRDefault="00C23542" w:rsidP="009411BC">
      <w:pPr>
        <w:pStyle w:val="ListParagraph"/>
        <w:numPr>
          <w:ilvl w:val="2"/>
          <w:numId w:val="1"/>
        </w:numPr>
      </w:pPr>
      <w:r>
        <w:t>Need for state to negotiate targets with US ED eliminated (though US Secretary of Education could still disapprove state plan based on proposed targets)</w:t>
      </w:r>
    </w:p>
    <w:p w:rsidR="00C23542" w:rsidRDefault="00C23542" w:rsidP="009411BC">
      <w:pPr>
        <w:pStyle w:val="ListParagraph"/>
        <w:numPr>
          <w:ilvl w:val="2"/>
          <w:numId w:val="1"/>
        </w:numPr>
      </w:pPr>
      <w:r>
        <w:t>Local grant recipients still required to accept state targets or negotiate</w:t>
      </w:r>
    </w:p>
    <w:p w:rsidR="00EB5C94" w:rsidRDefault="00EB5C94" w:rsidP="009411BC">
      <w:pPr>
        <w:pStyle w:val="ListParagraph"/>
        <w:numPr>
          <w:ilvl w:val="2"/>
          <w:numId w:val="1"/>
        </w:numPr>
      </w:pPr>
      <w:r>
        <w:t>Failure to meet 90% of targets still must do improvement plan</w:t>
      </w:r>
    </w:p>
    <w:p w:rsidR="009411BC" w:rsidRDefault="00CE69E9" w:rsidP="009411BC">
      <w:pPr>
        <w:pStyle w:val="ListParagraph"/>
        <w:numPr>
          <w:ilvl w:val="2"/>
          <w:numId w:val="1"/>
        </w:numPr>
      </w:pPr>
      <w:r>
        <w:t>Defines CTE concentrator in the legislation</w:t>
      </w:r>
    </w:p>
    <w:p w:rsidR="00CE69E9" w:rsidRDefault="00CE69E9" w:rsidP="00CE69E9">
      <w:pPr>
        <w:pStyle w:val="ListParagraph"/>
        <w:numPr>
          <w:ilvl w:val="3"/>
          <w:numId w:val="1"/>
        </w:numPr>
      </w:pPr>
      <w:r>
        <w:t>Secondary--a student who completes three or more cte course or two or more courses in a single program area</w:t>
      </w:r>
    </w:p>
    <w:p w:rsidR="00CE69E9" w:rsidRDefault="00CE69E9" w:rsidP="007802E2">
      <w:pPr>
        <w:pStyle w:val="ListParagraph"/>
        <w:numPr>
          <w:ilvl w:val="3"/>
          <w:numId w:val="1"/>
        </w:numPr>
      </w:pPr>
      <w:r>
        <w:t>Postsecondary—student who earns 12 cumulative credits in a single program area or completes a program that encompasses fewer than 12 credits.</w:t>
      </w:r>
      <w:r w:rsidR="007802E2">
        <w:tab/>
      </w:r>
    </w:p>
    <w:p w:rsidR="007802E2" w:rsidRDefault="007802E2" w:rsidP="007802E2">
      <w:pPr>
        <w:pStyle w:val="ListParagraph"/>
        <w:numPr>
          <w:ilvl w:val="2"/>
          <w:numId w:val="1"/>
        </w:numPr>
      </w:pPr>
      <w:r>
        <w:t>Defines cte participant:</w:t>
      </w:r>
    </w:p>
    <w:p w:rsidR="007802E2" w:rsidRDefault="007802E2" w:rsidP="007802E2">
      <w:pPr>
        <w:pStyle w:val="ListParagraph"/>
        <w:numPr>
          <w:ilvl w:val="3"/>
          <w:numId w:val="1"/>
        </w:numPr>
      </w:pPr>
      <w:bookmarkStart w:id="0" w:name="_GoBack"/>
      <w:r>
        <w:t>Completes at least one cte course or earns at least one credit in a cte program or program of study</w:t>
      </w:r>
    </w:p>
    <w:bookmarkEnd w:id="0"/>
    <w:p w:rsidR="0060378C" w:rsidRDefault="0060378C" w:rsidP="0060378C">
      <w:pPr>
        <w:pStyle w:val="ListParagraph"/>
        <w:numPr>
          <w:ilvl w:val="2"/>
          <w:numId w:val="1"/>
        </w:numPr>
      </w:pPr>
      <w:r>
        <w:t>Secondary CPIs</w:t>
      </w:r>
      <w:r w:rsidR="001C7084">
        <w:t xml:space="preserve"> (all based on cte concentrators)</w:t>
      </w:r>
    </w:p>
    <w:p w:rsidR="0060378C" w:rsidRDefault="0060378C" w:rsidP="0060378C">
      <w:pPr>
        <w:pStyle w:val="ListParagraph"/>
        <w:numPr>
          <w:ilvl w:val="3"/>
          <w:numId w:val="1"/>
        </w:numPr>
      </w:pPr>
      <w:r>
        <w:t>Grad rates based on ESSA 4-year rate (option to also use extended year rate)</w:t>
      </w:r>
    </w:p>
    <w:p w:rsidR="0060378C" w:rsidRDefault="0060378C" w:rsidP="0060378C">
      <w:pPr>
        <w:pStyle w:val="ListParagraph"/>
        <w:numPr>
          <w:ilvl w:val="3"/>
          <w:numId w:val="1"/>
        </w:numPr>
      </w:pPr>
      <w:r>
        <w:t>Academic attainment rates—based on ESSA state-identified academic standards</w:t>
      </w:r>
    </w:p>
    <w:p w:rsidR="0060378C" w:rsidRDefault="0060378C" w:rsidP="0060378C">
      <w:pPr>
        <w:pStyle w:val="ListParagraph"/>
        <w:numPr>
          <w:ilvl w:val="3"/>
          <w:numId w:val="1"/>
        </w:numPr>
      </w:pPr>
      <w:r>
        <w:t>Placement of CTE concentrators 2 quarters after exiting secondary education</w:t>
      </w:r>
    </w:p>
    <w:p w:rsidR="0060378C" w:rsidRDefault="0060378C" w:rsidP="0060378C">
      <w:pPr>
        <w:pStyle w:val="ListParagraph"/>
        <w:numPr>
          <w:ilvl w:val="3"/>
          <w:numId w:val="1"/>
        </w:numPr>
      </w:pPr>
      <w:r>
        <w:t>A measure of “CTE program quality”</w:t>
      </w:r>
    </w:p>
    <w:p w:rsidR="0060378C" w:rsidRDefault="0060378C" w:rsidP="0060378C">
      <w:pPr>
        <w:pStyle w:val="ListParagraph"/>
        <w:numPr>
          <w:ilvl w:val="4"/>
          <w:numId w:val="1"/>
        </w:numPr>
      </w:pPr>
      <w:r>
        <w:t>Student attainment of recognized postsecondary credentials as defined in WIOA</w:t>
      </w:r>
    </w:p>
    <w:p w:rsidR="0060378C" w:rsidRDefault="0060378C" w:rsidP="0060378C">
      <w:pPr>
        <w:pStyle w:val="ListParagraph"/>
        <w:numPr>
          <w:ilvl w:val="4"/>
          <w:numId w:val="1"/>
        </w:numPr>
      </w:pPr>
      <w:r>
        <w:t>Student attainment of postsecondary credits in their CTE program of study</w:t>
      </w:r>
    </w:p>
    <w:p w:rsidR="0060378C" w:rsidRDefault="0060378C" w:rsidP="0060378C">
      <w:pPr>
        <w:pStyle w:val="ListParagraph"/>
        <w:numPr>
          <w:ilvl w:val="4"/>
          <w:numId w:val="1"/>
        </w:numPr>
      </w:pPr>
      <w:r>
        <w:t>Percent of students participating in work-based learning</w:t>
      </w:r>
    </w:p>
    <w:p w:rsidR="0060378C" w:rsidRDefault="0060378C" w:rsidP="0060378C">
      <w:pPr>
        <w:pStyle w:val="ListParagraph"/>
        <w:numPr>
          <w:ilvl w:val="4"/>
          <w:numId w:val="1"/>
        </w:numPr>
      </w:pPr>
      <w:r>
        <w:t>Percent of CTE concentrators participating in work-based learning</w:t>
      </w:r>
    </w:p>
    <w:p w:rsidR="001C7084" w:rsidRDefault="001C7084" w:rsidP="001C7084">
      <w:pPr>
        <w:pStyle w:val="ListParagraph"/>
        <w:numPr>
          <w:ilvl w:val="2"/>
          <w:numId w:val="1"/>
        </w:numPr>
      </w:pPr>
      <w:r>
        <w:t>Postsecondary CPIs (all based on cte concentrators)</w:t>
      </w:r>
    </w:p>
    <w:p w:rsidR="001C7084" w:rsidRDefault="001C7084" w:rsidP="001C7084">
      <w:pPr>
        <w:pStyle w:val="ListParagraph"/>
        <w:numPr>
          <w:ilvl w:val="3"/>
          <w:numId w:val="1"/>
        </w:numPr>
      </w:pPr>
      <w:r>
        <w:t>Student placement two quarters after program completion in further education or training, advanced training or unsubsidized employment</w:t>
      </w:r>
    </w:p>
    <w:p w:rsidR="001C7084" w:rsidRDefault="001C7084" w:rsidP="001C7084">
      <w:pPr>
        <w:pStyle w:val="ListParagraph"/>
        <w:numPr>
          <w:ilvl w:val="3"/>
          <w:numId w:val="1"/>
        </w:numPr>
      </w:pPr>
      <w:r>
        <w:t>Median earnings two quarters after program completion</w:t>
      </w:r>
    </w:p>
    <w:p w:rsidR="001C7084" w:rsidRDefault="001C7084" w:rsidP="001C7084">
      <w:pPr>
        <w:pStyle w:val="ListParagraph"/>
        <w:numPr>
          <w:ilvl w:val="3"/>
          <w:numId w:val="1"/>
        </w:numPr>
      </w:pPr>
      <w:r>
        <w:t>Attainment of recognized postsecondary credentials during a program or within one year of program completion</w:t>
      </w:r>
    </w:p>
    <w:p w:rsidR="001C7084" w:rsidRDefault="001C7084" w:rsidP="001C7084">
      <w:pPr>
        <w:pStyle w:val="ListParagraph"/>
        <w:numPr>
          <w:ilvl w:val="3"/>
          <w:numId w:val="1"/>
        </w:numPr>
      </w:pPr>
      <w:r>
        <w:t>Percent of CTE concentrators in cte programs that lead to nontraditional fields</w:t>
      </w:r>
    </w:p>
    <w:p w:rsidR="00C84C5D" w:rsidRDefault="00023BCB" w:rsidP="00C84C5D">
      <w:pPr>
        <w:pStyle w:val="ListParagraph"/>
        <w:numPr>
          <w:ilvl w:val="1"/>
          <w:numId w:val="1"/>
        </w:numPr>
      </w:pPr>
      <w:r w:rsidRPr="00023BCB">
        <w:rPr>
          <w:b/>
        </w:rPr>
        <w:t>Funding</w:t>
      </w:r>
      <w:r>
        <w:t xml:space="preserve">: </w:t>
      </w:r>
      <w:r w:rsidR="00C84C5D">
        <w:t>Increases funding from current levels ($1.117 Billion) but still less than 2007, to $1.13 billion for FY 17 increasing through FY 22 to $1.213 Billion</w:t>
      </w:r>
    </w:p>
    <w:p w:rsidR="00C84C5D" w:rsidRDefault="00C84C5D" w:rsidP="00C84C5D">
      <w:pPr>
        <w:pStyle w:val="ListParagraph"/>
        <w:numPr>
          <w:ilvl w:val="2"/>
          <w:numId w:val="1"/>
        </w:numPr>
      </w:pPr>
      <w:r>
        <w:t>Eliminates Tech Prep</w:t>
      </w:r>
    </w:p>
    <w:p w:rsidR="00C84C5D" w:rsidRDefault="00C84C5D" w:rsidP="00C84C5D">
      <w:pPr>
        <w:pStyle w:val="ListParagraph"/>
        <w:numPr>
          <w:ilvl w:val="2"/>
          <w:numId w:val="1"/>
        </w:numPr>
      </w:pPr>
      <w:r>
        <w:t>State set-aside increased from 10% to 15% for state priorities</w:t>
      </w:r>
    </w:p>
    <w:p w:rsidR="00C8455F" w:rsidRDefault="00C8455F" w:rsidP="00C8455F">
      <w:pPr>
        <w:pStyle w:val="ListParagraph"/>
        <w:numPr>
          <w:ilvl w:val="1"/>
          <w:numId w:val="1"/>
        </w:numPr>
      </w:pPr>
      <w:r>
        <w:t>FY16-17 award amount=$10,989,212</w:t>
      </w:r>
    </w:p>
    <w:p w:rsidR="00C8455F" w:rsidRDefault="00C8455F" w:rsidP="00C8455F">
      <w:pPr>
        <w:pStyle w:val="ListParagraph"/>
        <w:numPr>
          <w:ilvl w:val="2"/>
          <w:numId w:val="1"/>
        </w:numPr>
      </w:pPr>
      <w:r>
        <w:t>Michigan splits Perkins funding 60% secondary and 40% postsecondary</w:t>
      </w:r>
    </w:p>
    <w:p w:rsidR="00612344" w:rsidRDefault="00C8455F" w:rsidP="00C8455F">
      <w:pPr>
        <w:pStyle w:val="ListParagraph"/>
        <w:numPr>
          <w:ilvl w:val="1"/>
          <w:numId w:val="1"/>
        </w:numPr>
      </w:pPr>
      <w:r>
        <w:t xml:space="preserve">Learning That Works Resource Center: </w:t>
      </w:r>
      <w:hyperlink r:id="rId8" w:history="1">
        <w:r w:rsidRPr="00A61E10">
          <w:rPr>
            <w:rStyle w:val="Hyperlink"/>
          </w:rPr>
          <w:t>https://www.careertech.org/resource-center</w:t>
        </w:r>
      </w:hyperlink>
    </w:p>
    <w:p w:rsidR="005657E7" w:rsidRDefault="00023BCB" w:rsidP="005657E7">
      <w:pPr>
        <w:pStyle w:val="ListParagraph"/>
        <w:numPr>
          <w:ilvl w:val="1"/>
          <w:numId w:val="1"/>
        </w:numPr>
      </w:pPr>
      <w:r>
        <w:t>Innovative grant program—competitive grants to consortia to create, develop, implement, or take to scale evidence-based field-initiated innovations, and rigorously evaluation such innovations</w:t>
      </w:r>
    </w:p>
    <w:p w:rsidR="005657E7" w:rsidRPr="00B534E5" w:rsidRDefault="005657E7" w:rsidP="005657E7">
      <w:pPr>
        <w:pStyle w:val="ListParagraph"/>
        <w:numPr>
          <w:ilvl w:val="1"/>
          <w:numId w:val="1"/>
        </w:numPr>
        <w:rPr>
          <w:rStyle w:val="Hyperlink"/>
          <w:color w:val="auto"/>
          <w:u w:val="none"/>
        </w:rPr>
      </w:pPr>
      <w:r>
        <w:t xml:space="preserve">More information: go to Advance CTE website: </w:t>
      </w:r>
      <w:hyperlink r:id="rId9" w:history="1">
        <w:r w:rsidRPr="00A85EFE">
          <w:rPr>
            <w:rStyle w:val="Hyperlink"/>
          </w:rPr>
          <w:t>https://www.careertech.org/perkins</w:t>
        </w:r>
      </w:hyperlink>
    </w:p>
    <w:p w:rsidR="00B534E5" w:rsidRPr="00B534E5" w:rsidRDefault="00B534E5" w:rsidP="00B534E5">
      <w:pPr>
        <w:pStyle w:val="ListParagraph"/>
        <w:numPr>
          <w:ilvl w:val="1"/>
          <w:numId w:val="1"/>
        </w:numPr>
        <w:rPr>
          <w:rStyle w:val="Hyperlink"/>
          <w:color w:val="auto"/>
          <w:u w:val="none"/>
        </w:rPr>
      </w:pPr>
      <w:r w:rsidRPr="00B534E5">
        <w:t xml:space="preserve">For analysis of the bill: </w:t>
      </w:r>
      <w:hyperlink r:id="rId10" w:history="1">
        <w:r w:rsidRPr="00A61E10">
          <w:rPr>
            <w:rStyle w:val="Hyperlink"/>
          </w:rPr>
          <w:t>https://careertech.org/sites/default/files/H.R.%205587%20Summary%20%26%20Analysis_FINAL.pdf</w:t>
        </w:r>
      </w:hyperlink>
    </w:p>
    <w:p w:rsidR="00B534E5" w:rsidRDefault="00B534E5" w:rsidP="00B534E5">
      <w:pPr>
        <w:pStyle w:val="ListParagraph"/>
        <w:numPr>
          <w:ilvl w:val="1"/>
          <w:numId w:val="1"/>
        </w:numPr>
      </w:pPr>
      <w:r>
        <w:lastRenderedPageBreak/>
        <w:t xml:space="preserve">Bill: </w:t>
      </w:r>
      <w:hyperlink r:id="rId11" w:history="1">
        <w:r w:rsidRPr="00A61E10">
          <w:rPr>
            <w:rStyle w:val="Hyperlink"/>
          </w:rPr>
          <w:t>https://www.congress.gov/114/bills/hr5587/BILLS-114hr5587ih.pdf</w:t>
        </w:r>
      </w:hyperlink>
    </w:p>
    <w:p w:rsidR="004F4BC3" w:rsidRDefault="004F4BC3" w:rsidP="004F4BC3">
      <w:pPr>
        <w:pStyle w:val="ListParagraph"/>
        <w:numPr>
          <w:ilvl w:val="1"/>
          <w:numId w:val="1"/>
        </w:numPr>
      </w:pPr>
      <w:r>
        <w:t xml:space="preserve">Markup: </w:t>
      </w:r>
      <w:hyperlink r:id="rId12" w:history="1">
        <w:r w:rsidRPr="00A61E10">
          <w:rPr>
            <w:rStyle w:val="Hyperlink"/>
          </w:rPr>
          <w:t>http://edworkforce.house.gov/uploadedfiles/strengthening_career_and_technical_education_for_the_21st_century_act.pdf</w:t>
        </w:r>
      </w:hyperlink>
      <w:r>
        <w:tab/>
      </w:r>
    </w:p>
    <w:p w:rsidR="00C0308D" w:rsidRDefault="00C0308D" w:rsidP="00C0308D">
      <w:pPr>
        <w:pStyle w:val="ListParagraph"/>
        <w:numPr>
          <w:ilvl w:val="0"/>
          <w:numId w:val="1"/>
        </w:numPr>
        <w:rPr>
          <w:b/>
          <w:u w:val="single"/>
        </w:rPr>
      </w:pPr>
      <w:r>
        <w:rPr>
          <w:b/>
          <w:u w:val="single"/>
        </w:rPr>
        <w:t>Putting Learning Success First: A Shared Vision for the Future of CTE:</w:t>
      </w:r>
    </w:p>
    <w:p w:rsidR="00281A10" w:rsidRPr="00281A10" w:rsidRDefault="00C625F3" w:rsidP="00281A10">
      <w:pPr>
        <w:pStyle w:val="ListParagraph"/>
        <w:numPr>
          <w:ilvl w:val="1"/>
          <w:numId w:val="1"/>
        </w:numPr>
        <w:rPr>
          <w:b/>
          <w:u w:val="single"/>
        </w:rPr>
      </w:pPr>
      <w:hyperlink r:id="rId13" w:history="1">
        <w:r w:rsidR="00281A10" w:rsidRPr="00A61E10">
          <w:rPr>
            <w:rStyle w:val="Hyperlink"/>
          </w:rPr>
          <w:t>https://careertech.org/sites/default/files/Vision_FinalWeb.pdf</w:t>
        </w:r>
      </w:hyperlink>
    </w:p>
    <w:p w:rsidR="00C8455F" w:rsidRPr="00C0308D" w:rsidRDefault="00C0308D" w:rsidP="00C0308D">
      <w:pPr>
        <w:pStyle w:val="ListParagraph"/>
        <w:numPr>
          <w:ilvl w:val="0"/>
          <w:numId w:val="1"/>
        </w:numPr>
        <w:rPr>
          <w:b/>
          <w:u w:val="single"/>
        </w:rPr>
      </w:pPr>
      <w:r w:rsidRPr="00C0308D">
        <w:rPr>
          <w:b/>
          <w:u w:val="single"/>
        </w:rPr>
        <w:t>Career Readiness Initiative</w:t>
      </w:r>
      <w:r w:rsidR="00E66ACD">
        <w:rPr>
          <w:b/>
          <w:u w:val="single"/>
        </w:rPr>
        <w:t xml:space="preserve"> (CCSSO)</w:t>
      </w:r>
    </w:p>
    <w:p w:rsidR="00C0308D" w:rsidRDefault="00C0308D" w:rsidP="00C0308D">
      <w:pPr>
        <w:pStyle w:val="ListParagraph"/>
        <w:numPr>
          <w:ilvl w:val="1"/>
          <w:numId w:val="1"/>
        </w:numPr>
      </w:pPr>
      <w:r>
        <w:t>Supports Learning That Works Resource Center:</w:t>
      </w:r>
      <w:r w:rsidRPr="00C0308D">
        <w:t xml:space="preserve"> </w:t>
      </w:r>
      <w:hyperlink r:id="rId14" w:history="1">
        <w:r w:rsidRPr="00A61E10">
          <w:rPr>
            <w:rStyle w:val="Hyperlink"/>
          </w:rPr>
          <w:t>https://www.careertech.org/resource-center</w:t>
        </w:r>
      </w:hyperlink>
    </w:p>
    <w:p w:rsidR="00C0308D" w:rsidRPr="00C0308D" w:rsidRDefault="00C0308D" w:rsidP="00C0308D">
      <w:pPr>
        <w:pStyle w:val="ListParagraph"/>
        <w:numPr>
          <w:ilvl w:val="1"/>
          <w:numId w:val="1"/>
        </w:numPr>
      </w:pPr>
      <w:r w:rsidRPr="00C0308D">
        <w:t>Forty-three states, D.C. and two territories signed on to these recommendations:</w:t>
      </w:r>
    </w:p>
    <w:p w:rsidR="00C0308D" w:rsidRPr="00C0308D" w:rsidRDefault="00C0308D" w:rsidP="00C0308D">
      <w:pPr>
        <w:pStyle w:val="ListParagraph"/>
        <w:numPr>
          <w:ilvl w:val="2"/>
          <w:numId w:val="1"/>
        </w:numPr>
      </w:pPr>
      <w:r w:rsidRPr="00C0308D">
        <w:t>Enlist the employer community as a lead partner to refocus and retool schools' career preparation efforts to ensure that they are responsive to the labor market and effectively prepare all students for the expectations of the 21st century workplace.</w:t>
      </w:r>
    </w:p>
    <w:p w:rsidR="00C0308D" w:rsidRPr="00C0308D" w:rsidRDefault="00C0308D" w:rsidP="00C0308D">
      <w:pPr>
        <w:pStyle w:val="ListParagraph"/>
        <w:numPr>
          <w:ilvl w:val="2"/>
          <w:numId w:val="1"/>
        </w:numPr>
      </w:pPr>
      <w:r w:rsidRPr="00C0308D">
        <w:t>Raise the bar for the quality of career preparation programs to ensure that all programs are embedded in pathways that are tightly aligned with the needs of the labor market and culminate in a meaningful postsecondary credential or an industry certification in a high-skill, high-demand field.</w:t>
      </w:r>
    </w:p>
    <w:p w:rsidR="00C0308D" w:rsidRPr="00C0308D" w:rsidRDefault="00C0308D" w:rsidP="00C0308D">
      <w:pPr>
        <w:pStyle w:val="ListParagraph"/>
        <w:numPr>
          <w:ilvl w:val="2"/>
          <w:numId w:val="1"/>
        </w:numPr>
      </w:pPr>
      <w:r w:rsidRPr="00C0308D">
        <w:t>Make career preparation matter to schools and students by incorporating career readiness indicators into accountability systems and incentivizing students to earn postsecondary or industry certification credentials in high-skill, high-demand fields.</w:t>
      </w:r>
    </w:p>
    <w:p w:rsidR="00C0308D" w:rsidRDefault="00E66ACD" w:rsidP="00C0308D">
      <w:pPr>
        <w:pStyle w:val="ListParagraph"/>
        <w:numPr>
          <w:ilvl w:val="1"/>
          <w:numId w:val="1"/>
        </w:numPr>
      </w:pPr>
      <w:r>
        <w:t>Tier 2 commitments (Michigan MOU as Tier 2 state)</w:t>
      </w:r>
    </w:p>
    <w:p w:rsidR="00E66ACD" w:rsidRDefault="00E66ACD" w:rsidP="00E66ACD">
      <w:pPr>
        <w:pStyle w:val="ListParagraph"/>
        <w:numPr>
          <w:ilvl w:val="2"/>
          <w:numId w:val="1"/>
        </w:numPr>
      </w:pPr>
      <w:r>
        <w:t>Develop a comprehensive career-readiness plan to address the following task force recommendations:</w:t>
      </w:r>
    </w:p>
    <w:p w:rsidR="00E66ACD" w:rsidRDefault="00E66ACD" w:rsidP="00E66ACD">
      <w:pPr>
        <w:pStyle w:val="ListParagraph"/>
        <w:numPr>
          <w:ilvl w:val="3"/>
          <w:numId w:val="1"/>
        </w:numPr>
      </w:pPr>
      <w:r>
        <w:t>Establish a structured, sustainable process through which the education and employer communities use economic development data to set priorities</w:t>
      </w:r>
    </w:p>
    <w:p w:rsidR="00E66ACD" w:rsidRDefault="00E66ACD" w:rsidP="00E66ACD">
      <w:pPr>
        <w:pStyle w:val="ListParagraph"/>
        <w:numPr>
          <w:ilvl w:val="3"/>
          <w:numId w:val="1"/>
        </w:numPr>
      </w:pPr>
      <w:r>
        <w:t>Design and implement policies and strategies to scale career pathways that span secondary and postsecondary</w:t>
      </w:r>
    </w:p>
    <w:p w:rsidR="001A6F5B" w:rsidRDefault="00E66ACD" w:rsidP="001A6F5B">
      <w:pPr>
        <w:pStyle w:val="ListParagraph"/>
        <w:numPr>
          <w:ilvl w:val="4"/>
          <w:numId w:val="1"/>
        </w:numPr>
      </w:pPr>
      <w:r>
        <w:t>Culminate in credentials</w:t>
      </w:r>
    </w:p>
    <w:p w:rsidR="001A6F5B" w:rsidRDefault="001A6F5B" w:rsidP="001A6F5B">
      <w:pPr>
        <w:pStyle w:val="ListParagraph"/>
        <w:numPr>
          <w:ilvl w:val="3"/>
          <w:numId w:val="1"/>
        </w:numPr>
      </w:pPr>
      <w:r>
        <w:t>Make career readiness a higher priority in state accountability systems</w:t>
      </w:r>
    </w:p>
    <w:p w:rsidR="001A6F5B" w:rsidRDefault="001A6F5B" w:rsidP="001A6F5B">
      <w:pPr>
        <w:pStyle w:val="ListParagraph"/>
        <w:numPr>
          <w:ilvl w:val="2"/>
          <w:numId w:val="1"/>
        </w:numPr>
      </w:pPr>
      <w:r>
        <w:t>Work in partnership with small group of leaders from employer and postsecondary communities to participate in CRI</w:t>
      </w:r>
    </w:p>
    <w:p w:rsidR="001A6F5B" w:rsidRDefault="001A6F5B" w:rsidP="001A6F5B">
      <w:pPr>
        <w:pStyle w:val="ListParagraph"/>
        <w:numPr>
          <w:ilvl w:val="3"/>
          <w:numId w:val="1"/>
        </w:numPr>
      </w:pPr>
      <w:r>
        <w:t>Form cross-sectoral teams of k-12, business and higher education leaders</w:t>
      </w:r>
    </w:p>
    <w:p w:rsidR="001A6F5B" w:rsidRDefault="001A6F5B" w:rsidP="001A6F5B">
      <w:pPr>
        <w:pStyle w:val="ListParagraph"/>
        <w:numPr>
          <w:ilvl w:val="3"/>
          <w:numId w:val="1"/>
        </w:numPr>
      </w:pPr>
      <w:r>
        <w:t>Formalize the cross-sectoral teams commitment with letters of support or joint statement of common goals</w:t>
      </w:r>
    </w:p>
    <w:p w:rsidR="00AF6609" w:rsidRDefault="00AF6609" w:rsidP="00AF6609">
      <w:pPr>
        <w:pStyle w:val="ListParagraph"/>
        <w:numPr>
          <w:ilvl w:val="2"/>
          <w:numId w:val="1"/>
        </w:numPr>
      </w:pPr>
      <w:r>
        <w:t xml:space="preserve">Commitment to engage with </w:t>
      </w:r>
      <w:proofErr w:type="spellStart"/>
      <w:r>
        <w:t>ccsso</w:t>
      </w:r>
      <w:proofErr w:type="spellEnd"/>
    </w:p>
    <w:p w:rsidR="00E4087D" w:rsidRDefault="00E4087D" w:rsidP="00AF6609">
      <w:pPr>
        <w:pStyle w:val="ListParagraph"/>
        <w:numPr>
          <w:ilvl w:val="2"/>
          <w:numId w:val="1"/>
        </w:numPr>
      </w:pPr>
      <w:r>
        <w:t>Opportunities and Options:</w:t>
      </w:r>
      <w:r w:rsidRPr="00E4087D">
        <w:t xml:space="preserve"> </w:t>
      </w:r>
      <w:r>
        <w:t>Making Career Preparation Work For Students--November 2014</w:t>
      </w:r>
    </w:p>
    <w:p w:rsidR="00E4087D" w:rsidRDefault="00E4087D" w:rsidP="00E4087D">
      <w:pPr>
        <w:pStyle w:val="ListParagraph"/>
        <w:numPr>
          <w:ilvl w:val="3"/>
          <w:numId w:val="1"/>
        </w:numPr>
      </w:pPr>
      <w:hyperlink r:id="rId15" w:history="1">
        <w:r w:rsidRPr="003D186A">
          <w:rPr>
            <w:rStyle w:val="Hyperlink"/>
          </w:rPr>
          <w:t>http://www.ccsso.org/Documents/2014/CCSSOTaskForceCareerReadiness120114.pdf</w:t>
        </w:r>
      </w:hyperlink>
      <w:r>
        <w:t xml:space="preserve"> </w:t>
      </w:r>
    </w:p>
    <w:p w:rsidR="009A551C" w:rsidRDefault="009A551C" w:rsidP="009A551C">
      <w:pPr>
        <w:pStyle w:val="ListParagraph"/>
        <w:numPr>
          <w:ilvl w:val="2"/>
          <w:numId w:val="1"/>
        </w:numPr>
      </w:pPr>
      <w:r>
        <w:t xml:space="preserve">Stakeholder Engagement Guide: </w:t>
      </w:r>
    </w:p>
    <w:p w:rsidR="009A551C" w:rsidRDefault="009A551C" w:rsidP="009A551C">
      <w:pPr>
        <w:pStyle w:val="ListParagraph"/>
        <w:numPr>
          <w:ilvl w:val="3"/>
          <w:numId w:val="1"/>
        </w:numPr>
      </w:pPr>
      <w:hyperlink r:id="rId16" w:history="1">
        <w:r w:rsidRPr="003D186A">
          <w:rPr>
            <w:rStyle w:val="Hyperlink"/>
          </w:rPr>
          <w:t>http://www.ccsso.org/Documents/2016/ESSA/CCSSO%20Stakeholder%20Engagement%20Guide%20FINAL.pdf</w:t>
        </w:r>
      </w:hyperlink>
    </w:p>
    <w:p w:rsidR="00AF6609" w:rsidRDefault="0098343F" w:rsidP="0098343F">
      <w:pPr>
        <w:pStyle w:val="ListParagraph"/>
        <w:numPr>
          <w:ilvl w:val="0"/>
          <w:numId w:val="1"/>
        </w:numPr>
        <w:rPr>
          <w:b/>
          <w:u w:val="single"/>
        </w:rPr>
      </w:pPr>
      <w:r>
        <w:rPr>
          <w:b/>
          <w:u w:val="single"/>
        </w:rPr>
        <w:t>OCTAE Technical Assistance</w:t>
      </w:r>
    </w:p>
    <w:p w:rsidR="0098343F" w:rsidRPr="0098343F" w:rsidRDefault="0098343F" w:rsidP="0098343F">
      <w:pPr>
        <w:pStyle w:val="ListParagraph"/>
        <w:numPr>
          <w:ilvl w:val="1"/>
          <w:numId w:val="1"/>
        </w:numPr>
        <w:rPr>
          <w:b/>
          <w:u w:val="single"/>
        </w:rPr>
      </w:pPr>
      <w:r>
        <w:t>Leadership team: secondary and postsecondary, state offices plus district and community college</w:t>
      </w:r>
    </w:p>
    <w:p w:rsidR="0098343F" w:rsidRPr="0098343F" w:rsidRDefault="0098343F" w:rsidP="0098343F">
      <w:pPr>
        <w:pStyle w:val="ListParagraph"/>
        <w:numPr>
          <w:ilvl w:val="1"/>
          <w:numId w:val="1"/>
        </w:numPr>
        <w:rPr>
          <w:b/>
          <w:u w:val="single"/>
        </w:rPr>
      </w:pPr>
      <w:r>
        <w:t>Planning team: cross-sector/cross-agency representation</w:t>
      </w:r>
    </w:p>
    <w:p w:rsidR="005B4172" w:rsidRPr="005B4172" w:rsidRDefault="005B4172" w:rsidP="0098343F">
      <w:pPr>
        <w:pStyle w:val="ListParagraph"/>
        <w:numPr>
          <w:ilvl w:val="1"/>
          <w:numId w:val="1"/>
        </w:numPr>
        <w:rPr>
          <w:b/>
          <w:u w:val="single"/>
        </w:rPr>
      </w:pPr>
      <w:r>
        <w:t>Michigan will work with a dedicated coach, engage in a gap analysis, in-state visits, webinars and facilitated peer mentoring</w:t>
      </w:r>
    </w:p>
    <w:p w:rsidR="0098343F" w:rsidRPr="0098343F" w:rsidRDefault="0098343F" w:rsidP="0098343F">
      <w:pPr>
        <w:pStyle w:val="ListParagraph"/>
        <w:numPr>
          <w:ilvl w:val="1"/>
          <w:numId w:val="1"/>
        </w:numPr>
        <w:rPr>
          <w:b/>
          <w:u w:val="single"/>
        </w:rPr>
      </w:pPr>
      <w:r>
        <w:t>Michigan’s goals:</w:t>
      </w:r>
    </w:p>
    <w:p w:rsidR="0098343F" w:rsidRPr="0098343F" w:rsidRDefault="0098343F" w:rsidP="0098343F">
      <w:pPr>
        <w:pStyle w:val="ListParagraph"/>
        <w:numPr>
          <w:ilvl w:val="2"/>
          <w:numId w:val="1"/>
        </w:numPr>
        <w:rPr>
          <w:b/>
          <w:u w:val="single"/>
        </w:rPr>
      </w:pPr>
      <w:r>
        <w:lastRenderedPageBreak/>
        <w:t>Bridge divides between secondary and postsecondary systems, business/industry, workforce, and human services</w:t>
      </w:r>
    </w:p>
    <w:p w:rsidR="0098343F" w:rsidRPr="005075AE" w:rsidRDefault="0098343F" w:rsidP="0098343F">
      <w:pPr>
        <w:pStyle w:val="ListParagraph"/>
        <w:numPr>
          <w:ilvl w:val="2"/>
          <w:numId w:val="1"/>
        </w:numPr>
        <w:rPr>
          <w:b/>
          <w:u w:val="single"/>
        </w:rPr>
      </w:pPr>
      <w:r>
        <w:t>Create cross-sector and cross-agency partnerships</w:t>
      </w:r>
      <w:r w:rsidR="005075AE">
        <w:t xml:space="preserve"> between p-20 education, workforce, and business/industry</w:t>
      </w:r>
    </w:p>
    <w:p w:rsidR="005075AE" w:rsidRPr="005B4172" w:rsidRDefault="005075AE" w:rsidP="0098343F">
      <w:pPr>
        <w:pStyle w:val="ListParagraph"/>
        <w:numPr>
          <w:ilvl w:val="2"/>
          <w:numId w:val="1"/>
        </w:numPr>
        <w:rPr>
          <w:b/>
          <w:u w:val="single"/>
        </w:rPr>
      </w:pPr>
      <w:r>
        <w:t>Use labor market data to align p-20 schooling, college and work to create a systemic focus on career pathway outcomes</w:t>
      </w:r>
    </w:p>
    <w:p w:rsidR="005B4172" w:rsidRDefault="00933C44" w:rsidP="00933C44">
      <w:pPr>
        <w:pStyle w:val="ListParagraph"/>
        <w:numPr>
          <w:ilvl w:val="0"/>
          <w:numId w:val="1"/>
        </w:numPr>
        <w:rPr>
          <w:b/>
          <w:u w:val="single"/>
        </w:rPr>
      </w:pPr>
      <w:r>
        <w:rPr>
          <w:b/>
          <w:u w:val="single"/>
        </w:rPr>
        <w:t>Top 10 in 10</w:t>
      </w:r>
    </w:p>
    <w:p w:rsidR="00933C44" w:rsidRPr="00730B77" w:rsidRDefault="00933C44" w:rsidP="00933C44">
      <w:pPr>
        <w:pStyle w:val="ListParagraph"/>
        <w:numPr>
          <w:ilvl w:val="1"/>
          <w:numId w:val="1"/>
        </w:numPr>
        <w:rPr>
          <w:u w:val="single"/>
        </w:rPr>
      </w:pPr>
      <w:r>
        <w:t>Michigan Department of Education Strategic Goals and Strategies</w:t>
      </w:r>
    </w:p>
    <w:p w:rsidR="00730B77" w:rsidRPr="00730B77" w:rsidRDefault="006F2179" w:rsidP="00730B77">
      <w:pPr>
        <w:pStyle w:val="ListParagraph"/>
        <w:numPr>
          <w:ilvl w:val="2"/>
          <w:numId w:val="1"/>
        </w:numPr>
        <w:rPr>
          <w:u w:val="single"/>
        </w:rPr>
      </w:pPr>
      <w:hyperlink r:id="rId17" w:history="1">
        <w:r w:rsidRPr="003D186A">
          <w:rPr>
            <w:rStyle w:val="Hyperlink"/>
          </w:rPr>
          <w:t>http://www.michigan.gov/documents/mde/_MDE_Goals_and_Strategies_2-8-16_514042_7.pdf</w:t>
        </w:r>
      </w:hyperlink>
      <w:r w:rsidR="00730B77" w:rsidRPr="00730B77">
        <w:rPr>
          <w:u w:val="single"/>
        </w:rPr>
        <w:t xml:space="preserve"> </w:t>
      </w:r>
    </w:p>
    <w:p w:rsidR="0026018A" w:rsidRPr="0026018A" w:rsidRDefault="0026018A" w:rsidP="00596E0E">
      <w:pPr>
        <w:pStyle w:val="ListParagraph"/>
        <w:numPr>
          <w:ilvl w:val="2"/>
          <w:numId w:val="1"/>
        </w:numPr>
        <w:rPr>
          <w:b/>
          <w:u w:val="single"/>
        </w:rPr>
      </w:pPr>
      <w:r>
        <w:t>Goal 6: Create a strong alignment and partnership with job providers, community colleges, and higher education to assure a prepared and quality future workforce, and informed and responsible citizens</w:t>
      </w:r>
    </w:p>
    <w:p w:rsidR="0026018A" w:rsidRPr="0026018A" w:rsidRDefault="0026018A" w:rsidP="0026018A">
      <w:pPr>
        <w:pStyle w:val="ListParagraph"/>
        <w:numPr>
          <w:ilvl w:val="3"/>
          <w:numId w:val="1"/>
        </w:numPr>
        <w:rPr>
          <w:b/>
          <w:u w:val="single"/>
        </w:rPr>
      </w:pPr>
      <w:r>
        <w:t>Strategy 6.1: Coordinate with the WDA, employers, and other stakeholders on strategies to increase internships, work-based learning opportunities, and service learning for students</w:t>
      </w:r>
    </w:p>
    <w:p w:rsidR="0026018A" w:rsidRPr="0026018A" w:rsidRDefault="0026018A" w:rsidP="0026018A">
      <w:pPr>
        <w:pStyle w:val="ListParagraph"/>
        <w:numPr>
          <w:ilvl w:val="3"/>
          <w:numId w:val="1"/>
        </w:numPr>
        <w:rPr>
          <w:b/>
          <w:u w:val="single"/>
        </w:rPr>
      </w:pPr>
      <w:r>
        <w:t>6.2: Develop policy recommendations so any postsecondary course paid for with state funding will count as college credit at all postsecondary institutions in Michigan</w:t>
      </w:r>
    </w:p>
    <w:p w:rsidR="0026018A" w:rsidRPr="0026018A" w:rsidRDefault="0026018A" w:rsidP="0026018A">
      <w:pPr>
        <w:pStyle w:val="ListParagraph"/>
        <w:numPr>
          <w:ilvl w:val="3"/>
          <w:numId w:val="1"/>
        </w:numPr>
        <w:rPr>
          <w:b/>
          <w:u w:val="single"/>
        </w:rPr>
      </w:pPr>
      <w:r>
        <w:t>6.3: advocate for policy change so all students have access to instruction through an affordable postsecondary institution</w:t>
      </w:r>
    </w:p>
    <w:p w:rsidR="0026018A" w:rsidRPr="0026018A" w:rsidRDefault="0026018A" w:rsidP="0026018A">
      <w:pPr>
        <w:pStyle w:val="ListParagraph"/>
        <w:numPr>
          <w:ilvl w:val="4"/>
          <w:numId w:val="1"/>
        </w:numPr>
        <w:rPr>
          <w:b/>
          <w:u w:val="single"/>
        </w:rPr>
      </w:pPr>
      <w:r>
        <w:t>Advocate for and implement the recommendations from the career readiness study funded by the governor</w:t>
      </w:r>
    </w:p>
    <w:p w:rsidR="0026018A" w:rsidRPr="0026018A" w:rsidRDefault="0026018A" w:rsidP="0026018A">
      <w:pPr>
        <w:pStyle w:val="ListParagraph"/>
        <w:numPr>
          <w:ilvl w:val="4"/>
          <w:numId w:val="1"/>
        </w:numPr>
        <w:rPr>
          <w:b/>
          <w:u w:val="single"/>
        </w:rPr>
      </w:pPr>
      <w:r>
        <w:t>Ensure that all students, including, but not limited to, students with disabilities, have access to CTE and postsecondary options</w:t>
      </w:r>
    </w:p>
    <w:p w:rsidR="0026018A" w:rsidRPr="0026018A" w:rsidRDefault="0026018A" w:rsidP="0026018A">
      <w:pPr>
        <w:pStyle w:val="ListParagraph"/>
        <w:numPr>
          <w:ilvl w:val="3"/>
          <w:numId w:val="1"/>
        </w:numPr>
        <w:rPr>
          <w:b/>
          <w:u w:val="single"/>
        </w:rPr>
      </w:pPr>
      <w:r>
        <w:t>6.4: align p-20 providers’ efforts with business/industry and workforce development agencies to support job training and soft skills so students are career-ready</w:t>
      </w:r>
    </w:p>
    <w:p w:rsidR="0026018A" w:rsidRPr="0026018A" w:rsidRDefault="0026018A" w:rsidP="0026018A">
      <w:pPr>
        <w:pStyle w:val="ListParagraph"/>
        <w:numPr>
          <w:ilvl w:val="3"/>
          <w:numId w:val="1"/>
        </w:numPr>
        <w:rPr>
          <w:b/>
          <w:u w:val="single"/>
        </w:rPr>
      </w:pPr>
      <w:r>
        <w:t>6.5: continue to expand the number of statewide articulation agreements with community colleges and four-year institutions to provide postsecondary credit for advanced high school coursework in CTE</w:t>
      </w:r>
    </w:p>
    <w:p w:rsidR="0026018A" w:rsidRPr="00822544" w:rsidRDefault="0026018A" w:rsidP="0026018A">
      <w:pPr>
        <w:pStyle w:val="ListParagraph"/>
        <w:numPr>
          <w:ilvl w:val="3"/>
          <w:numId w:val="1"/>
        </w:numPr>
        <w:rPr>
          <w:b/>
          <w:u w:val="single"/>
        </w:rPr>
      </w:pPr>
      <w:r>
        <w:t>6</w:t>
      </w:r>
      <w:r w:rsidR="00822544">
        <w:t>.</w:t>
      </w:r>
      <w:r>
        <w:t>6: Develop and implement a strategy to better understand and support Michigan public schools’ capacity to provide career- and college-ready coursework and instruction to all students, and how well, including postsecondary and vocational training</w:t>
      </w:r>
    </w:p>
    <w:p w:rsidR="00205160" w:rsidRPr="00205160" w:rsidRDefault="00205160" w:rsidP="00822544">
      <w:pPr>
        <w:pStyle w:val="ListParagraph"/>
        <w:numPr>
          <w:ilvl w:val="1"/>
          <w:numId w:val="1"/>
        </w:numPr>
        <w:rPr>
          <w:b/>
          <w:u w:val="single"/>
        </w:rPr>
      </w:pPr>
      <w:r>
        <w:rPr>
          <w:b/>
          <w:u w:val="single"/>
        </w:rPr>
        <w:t>Study of Michigan’s Career Technical Education and Career Readiness System</w:t>
      </w:r>
    </w:p>
    <w:p w:rsidR="00205160" w:rsidRPr="009A0F41" w:rsidRDefault="00205160" w:rsidP="00205160">
      <w:pPr>
        <w:pStyle w:val="ListParagraph"/>
        <w:numPr>
          <w:ilvl w:val="2"/>
          <w:numId w:val="1"/>
        </w:numPr>
        <w:rPr>
          <w:b/>
          <w:u w:val="single"/>
        </w:rPr>
      </w:pPr>
      <w:r>
        <w:t>To be released shortly</w:t>
      </w:r>
    </w:p>
    <w:p w:rsidR="009A0F41" w:rsidRPr="009A0F41" w:rsidRDefault="009A0F41" w:rsidP="00205160">
      <w:pPr>
        <w:pStyle w:val="ListParagraph"/>
        <w:numPr>
          <w:ilvl w:val="2"/>
          <w:numId w:val="1"/>
        </w:numPr>
        <w:rPr>
          <w:b/>
          <w:u w:val="single"/>
        </w:rPr>
      </w:pPr>
      <w:r>
        <w:t>Result of comprehensive study of secondary, postsecondary, data systems</w:t>
      </w:r>
    </w:p>
    <w:p w:rsidR="009A0F41" w:rsidRDefault="009A0F41" w:rsidP="00205160">
      <w:pPr>
        <w:pStyle w:val="ListParagraph"/>
        <w:numPr>
          <w:ilvl w:val="2"/>
          <w:numId w:val="1"/>
        </w:numPr>
        <w:rPr>
          <w:b/>
          <w:u w:val="single"/>
        </w:rPr>
      </w:pPr>
      <w:r>
        <w:t>Convening of stakeholders including secondary, postsecondary, employers</w:t>
      </w:r>
    </w:p>
    <w:p w:rsidR="007757C8" w:rsidRDefault="007757C8" w:rsidP="00822544">
      <w:pPr>
        <w:pStyle w:val="ListParagraph"/>
        <w:numPr>
          <w:ilvl w:val="1"/>
          <w:numId w:val="1"/>
        </w:numPr>
        <w:rPr>
          <w:b/>
          <w:u w:val="single"/>
        </w:rPr>
      </w:pPr>
      <w:r>
        <w:rPr>
          <w:b/>
          <w:u w:val="single"/>
        </w:rPr>
        <w:t>State School Aid affecting secondary CTE:</w:t>
      </w:r>
    </w:p>
    <w:p w:rsidR="007757C8" w:rsidRPr="007757C8" w:rsidRDefault="007757C8" w:rsidP="007757C8">
      <w:pPr>
        <w:pStyle w:val="ListParagraph"/>
        <w:numPr>
          <w:ilvl w:val="2"/>
          <w:numId w:val="1"/>
        </w:numPr>
        <w:rPr>
          <w:b/>
          <w:u w:val="single"/>
        </w:rPr>
      </w:pPr>
      <w:r>
        <w:t>61a1 changes: based on student advancement through the program, ranking on median wage, job openings and placement, cost of CTE program</w:t>
      </w:r>
    </w:p>
    <w:p w:rsidR="007757C8" w:rsidRPr="007757C8" w:rsidRDefault="007757C8" w:rsidP="007757C8">
      <w:pPr>
        <w:pStyle w:val="ListParagraph"/>
        <w:numPr>
          <w:ilvl w:val="2"/>
          <w:numId w:val="1"/>
        </w:numPr>
        <w:rPr>
          <w:b/>
          <w:u w:val="single"/>
        </w:rPr>
      </w:pPr>
      <w:r>
        <w:t>61b: CTE Early/Middle College Programs AND CTE Dual Enrollment programs</w:t>
      </w:r>
    </w:p>
    <w:p w:rsidR="007757C8" w:rsidRDefault="007757C8" w:rsidP="007757C8">
      <w:pPr>
        <w:pStyle w:val="ListParagraph"/>
        <w:numPr>
          <w:ilvl w:val="2"/>
          <w:numId w:val="1"/>
        </w:numPr>
        <w:rPr>
          <w:b/>
          <w:u w:val="single"/>
        </w:rPr>
      </w:pPr>
      <w:r>
        <w:t>61c: purchase of equipment</w:t>
      </w:r>
    </w:p>
    <w:p w:rsidR="00822544" w:rsidRDefault="00822544" w:rsidP="00822544">
      <w:pPr>
        <w:pStyle w:val="ListParagraph"/>
        <w:numPr>
          <w:ilvl w:val="1"/>
          <w:numId w:val="1"/>
        </w:numPr>
        <w:rPr>
          <w:b/>
          <w:u w:val="single"/>
        </w:rPr>
      </w:pPr>
      <w:r>
        <w:rPr>
          <w:b/>
          <w:u w:val="single"/>
        </w:rPr>
        <w:t>Key overlap:</w:t>
      </w:r>
    </w:p>
    <w:p w:rsidR="00822544" w:rsidRPr="00822544" w:rsidRDefault="00822544" w:rsidP="00822544">
      <w:pPr>
        <w:pStyle w:val="ListParagraph"/>
        <w:numPr>
          <w:ilvl w:val="2"/>
          <w:numId w:val="1"/>
        </w:numPr>
        <w:rPr>
          <w:b/>
          <w:u w:val="single"/>
        </w:rPr>
      </w:pPr>
      <w:r>
        <w:t>Cross-sector leadership team</w:t>
      </w:r>
    </w:p>
    <w:p w:rsidR="00822544" w:rsidRPr="00822544" w:rsidRDefault="00822544" w:rsidP="00822544">
      <w:pPr>
        <w:pStyle w:val="ListParagraph"/>
        <w:numPr>
          <w:ilvl w:val="2"/>
          <w:numId w:val="1"/>
        </w:numPr>
        <w:rPr>
          <w:b/>
          <w:u w:val="single"/>
        </w:rPr>
      </w:pPr>
      <w:r>
        <w:t>Secondary-postsecondary cross-agency collaboration</w:t>
      </w:r>
    </w:p>
    <w:p w:rsidR="00822544" w:rsidRPr="00870087" w:rsidRDefault="00822544" w:rsidP="00822544">
      <w:pPr>
        <w:pStyle w:val="ListParagraph"/>
        <w:numPr>
          <w:ilvl w:val="2"/>
          <w:numId w:val="1"/>
        </w:numPr>
        <w:rPr>
          <w:b/>
          <w:u w:val="single"/>
        </w:rPr>
      </w:pPr>
      <w:r>
        <w:t>High-quality CTE programs</w:t>
      </w:r>
      <w:r w:rsidR="00870087">
        <w:t>: academic and technical rigor</w:t>
      </w:r>
    </w:p>
    <w:p w:rsidR="00870087" w:rsidRPr="00822544" w:rsidRDefault="00870087" w:rsidP="00822544">
      <w:pPr>
        <w:pStyle w:val="ListParagraph"/>
        <w:numPr>
          <w:ilvl w:val="2"/>
          <w:numId w:val="1"/>
        </w:numPr>
        <w:rPr>
          <w:b/>
          <w:u w:val="single"/>
        </w:rPr>
      </w:pPr>
      <w:r>
        <w:t>Culminating in Credentials of value to employers</w:t>
      </w:r>
      <w:r w:rsidR="00C45AEE">
        <w:t xml:space="preserve"> or that open doors to employment</w:t>
      </w:r>
    </w:p>
    <w:p w:rsidR="00822544" w:rsidRPr="00822544" w:rsidRDefault="00822544" w:rsidP="00822544">
      <w:pPr>
        <w:pStyle w:val="ListParagraph"/>
        <w:numPr>
          <w:ilvl w:val="2"/>
          <w:numId w:val="1"/>
        </w:numPr>
        <w:rPr>
          <w:b/>
          <w:u w:val="single"/>
        </w:rPr>
      </w:pPr>
      <w:r>
        <w:t>Secondary-postsecondary alignment</w:t>
      </w:r>
    </w:p>
    <w:p w:rsidR="00822544" w:rsidRPr="00822544" w:rsidRDefault="00822544" w:rsidP="00822544">
      <w:pPr>
        <w:pStyle w:val="ListParagraph"/>
        <w:numPr>
          <w:ilvl w:val="2"/>
          <w:numId w:val="1"/>
        </w:numPr>
        <w:rPr>
          <w:b/>
          <w:u w:val="single"/>
        </w:rPr>
      </w:pPr>
      <w:r>
        <w:lastRenderedPageBreak/>
        <w:t>Focus on in-demand industries</w:t>
      </w:r>
    </w:p>
    <w:p w:rsidR="00822544" w:rsidRPr="00CB55E7" w:rsidRDefault="00822544" w:rsidP="00822544">
      <w:pPr>
        <w:pStyle w:val="ListParagraph"/>
        <w:numPr>
          <w:ilvl w:val="2"/>
          <w:numId w:val="1"/>
        </w:numPr>
        <w:rPr>
          <w:b/>
          <w:u w:val="single"/>
        </w:rPr>
      </w:pPr>
      <w:r>
        <w:t>Employer-led</w:t>
      </w:r>
    </w:p>
    <w:p w:rsidR="00CB55E7" w:rsidRPr="00CB55E7" w:rsidRDefault="00CB55E7" w:rsidP="00822544">
      <w:pPr>
        <w:pStyle w:val="ListParagraph"/>
        <w:numPr>
          <w:ilvl w:val="2"/>
          <w:numId w:val="1"/>
        </w:numPr>
        <w:rPr>
          <w:b/>
          <w:u w:val="single"/>
        </w:rPr>
      </w:pPr>
      <w:r>
        <w:t>Partnership between education and employers</w:t>
      </w:r>
    </w:p>
    <w:p w:rsidR="00CB55E7" w:rsidRPr="000D4F03" w:rsidRDefault="00CB55E7" w:rsidP="00822544">
      <w:pPr>
        <w:pStyle w:val="ListParagraph"/>
        <w:numPr>
          <w:ilvl w:val="2"/>
          <w:numId w:val="1"/>
        </w:numPr>
        <w:rPr>
          <w:b/>
          <w:u w:val="single"/>
        </w:rPr>
      </w:pPr>
      <w:r>
        <w:t>Data-driven, embed CTE outcome measures in state accountability system</w:t>
      </w:r>
    </w:p>
    <w:p w:rsidR="000D4F03" w:rsidRDefault="000D4F03" w:rsidP="000D4F03">
      <w:pPr>
        <w:pStyle w:val="ListParagraph"/>
        <w:numPr>
          <w:ilvl w:val="0"/>
          <w:numId w:val="1"/>
        </w:numPr>
        <w:rPr>
          <w:b/>
          <w:u w:val="single"/>
        </w:rPr>
      </w:pPr>
      <w:r>
        <w:rPr>
          <w:b/>
          <w:u w:val="single"/>
        </w:rPr>
        <w:t>CTE in ESSA Fact Sheets</w:t>
      </w:r>
    </w:p>
    <w:p w:rsidR="000D4F03" w:rsidRPr="000D4F03" w:rsidRDefault="00C625F3" w:rsidP="000D4F03">
      <w:pPr>
        <w:pStyle w:val="ListParagraph"/>
        <w:numPr>
          <w:ilvl w:val="1"/>
          <w:numId w:val="1"/>
        </w:numPr>
        <w:rPr>
          <w:u w:val="single"/>
        </w:rPr>
      </w:pPr>
      <w:hyperlink r:id="rId18" w:history="1">
        <w:r w:rsidR="000D4F03" w:rsidRPr="000D4F03">
          <w:rPr>
            <w:rStyle w:val="Hyperlink"/>
          </w:rPr>
          <w:t>http://ctepolicywatch.acteonline.org/esea/</w:t>
        </w:r>
      </w:hyperlink>
    </w:p>
    <w:p w:rsidR="00F341C8" w:rsidRDefault="00C625F3" w:rsidP="00F341C8">
      <w:pPr>
        <w:numPr>
          <w:ilvl w:val="2"/>
          <w:numId w:val="1"/>
        </w:numPr>
        <w:spacing w:before="100" w:beforeAutospacing="1" w:after="100" w:afterAutospacing="1" w:line="240" w:lineRule="auto"/>
      </w:pPr>
      <w:hyperlink r:id="rId19" w:tgtFrame="_blank" w:history="1">
        <w:r w:rsidR="00F341C8">
          <w:rPr>
            <w:rStyle w:val="Hyperlink"/>
          </w:rPr>
          <w:t>Academics and CTE in the Classroom</w:t>
        </w:r>
      </w:hyperlink>
    </w:p>
    <w:p w:rsidR="00F341C8" w:rsidRDefault="00C625F3" w:rsidP="00F341C8">
      <w:pPr>
        <w:numPr>
          <w:ilvl w:val="2"/>
          <w:numId w:val="1"/>
        </w:numPr>
        <w:spacing w:before="100" w:beforeAutospacing="1" w:after="100" w:afterAutospacing="1" w:line="240" w:lineRule="auto"/>
      </w:pPr>
      <w:hyperlink r:id="rId20" w:tgtFrame="_blank" w:history="1">
        <w:r w:rsidR="00F341C8">
          <w:rPr>
            <w:rStyle w:val="Hyperlink"/>
          </w:rPr>
          <w:t>Career Guidance and Counseling</w:t>
        </w:r>
      </w:hyperlink>
    </w:p>
    <w:p w:rsidR="00F341C8" w:rsidRDefault="00C625F3" w:rsidP="00F341C8">
      <w:pPr>
        <w:numPr>
          <w:ilvl w:val="2"/>
          <w:numId w:val="1"/>
        </w:numPr>
        <w:spacing w:before="100" w:beforeAutospacing="1" w:after="100" w:afterAutospacing="1" w:line="240" w:lineRule="auto"/>
      </w:pPr>
      <w:hyperlink r:id="rId21" w:tgtFrame="_blank" w:history="1">
        <w:r w:rsidR="00F341C8">
          <w:rPr>
            <w:rStyle w:val="Hyperlink"/>
          </w:rPr>
          <w:t>Career Readiness Accountability</w:t>
        </w:r>
      </w:hyperlink>
    </w:p>
    <w:p w:rsidR="00F341C8" w:rsidRDefault="00C625F3" w:rsidP="00F341C8">
      <w:pPr>
        <w:numPr>
          <w:ilvl w:val="2"/>
          <w:numId w:val="1"/>
        </w:numPr>
        <w:spacing w:before="100" w:beforeAutospacing="1" w:after="100" w:afterAutospacing="1" w:line="240" w:lineRule="auto"/>
      </w:pPr>
      <w:hyperlink r:id="rId22" w:tgtFrame="_blank" w:history="1">
        <w:r w:rsidR="00F341C8">
          <w:rPr>
            <w:rStyle w:val="Hyperlink"/>
          </w:rPr>
          <w:t>Teacher Recruitment, Training and Professional Development</w:t>
        </w:r>
      </w:hyperlink>
    </w:p>
    <w:p w:rsidR="000D4F03" w:rsidRPr="000D4F03" w:rsidRDefault="006A08D6" w:rsidP="00F341C8">
      <w:pPr>
        <w:pStyle w:val="ListParagraph"/>
        <w:numPr>
          <w:ilvl w:val="0"/>
          <w:numId w:val="1"/>
        </w:numPr>
        <w:rPr>
          <w:b/>
          <w:u w:val="single"/>
        </w:rPr>
      </w:pPr>
      <w:r>
        <w:rPr>
          <w:b/>
          <w:u w:val="single"/>
        </w:rPr>
        <w:t>Defining High-Quality CTE Framework</w:t>
      </w:r>
    </w:p>
    <w:p w:rsidR="000D4F03" w:rsidRPr="006A08D6" w:rsidRDefault="006A08D6" w:rsidP="006A08D6">
      <w:pPr>
        <w:pStyle w:val="ListParagraph"/>
        <w:numPr>
          <w:ilvl w:val="1"/>
          <w:numId w:val="1"/>
        </w:numPr>
        <w:rPr>
          <w:u w:val="single"/>
        </w:rPr>
      </w:pPr>
      <w:hyperlink r:id="rId23" w:history="1">
        <w:r w:rsidRPr="006A08D6">
          <w:rPr>
            <w:rStyle w:val="Hyperlink"/>
          </w:rPr>
          <w:t>http://www.acteonline.org/uploadedFiles/What_is_CTE/High-qualityCTEFramework-Draft1.0-Nov2015.pdf</w:t>
        </w:r>
      </w:hyperlink>
    </w:p>
    <w:p w:rsidR="006A08D6" w:rsidRPr="00F37428" w:rsidRDefault="006A08D6" w:rsidP="006A08D6">
      <w:pPr>
        <w:pStyle w:val="ListParagraph"/>
        <w:numPr>
          <w:ilvl w:val="1"/>
          <w:numId w:val="1"/>
        </w:numPr>
        <w:rPr>
          <w:b/>
          <w:u w:val="single"/>
        </w:rPr>
      </w:pPr>
      <w:r>
        <w:t>ACTE is looking for feedback. Has secondary focus right now so input from postsecondary would be helpful</w:t>
      </w:r>
    </w:p>
    <w:p w:rsidR="00F37428" w:rsidRDefault="00C625F3" w:rsidP="00F37428">
      <w:pPr>
        <w:pStyle w:val="ListParagraph"/>
        <w:numPr>
          <w:ilvl w:val="1"/>
          <w:numId w:val="1"/>
        </w:numPr>
        <w:rPr>
          <w:u w:val="single"/>
        </w:rPr>
      </w:pPr>
      <w:hyperlink r:id="rId24" w:anchor=".V59S442V83w" w:history="1">
        <w:r w:rsidR="00F37428" w:rsidRPr="00F37428">
          <w:rPr>
            <w:rStyle w:val="Hyperlink"/>
          </w:rPr>
          <w:t>http://www.acteonline.org/high-qualityCTE/#.V59S442V83w</w:t>
        </w:r>
      </w:hyperlink>
    </w:p>
    <w:p w:rsidR="00530DA3" w:rsidRPr="00530DA3" w:rsidRDefault="00530DA3" w:rsidP="00530DA3">
      <w:pPr>
        <w:pStyle w:val="ListParagraph"/>
        <w:numPr>
          <w:ilvl w:val="0"/>
          <w:numId w:val="1"/>
        </w:numPr>
        <w:rPr>
          <w:b/>
          <w:u w:val="single"/>
        </w:rPr>
      </w:pPr>
      <w:r w:rsidRPr="00530DA3">
        <w:rPr>
          <w:b/>
          <w:u w:val="single"/>
        </w:rPr>
        <w:t>National Dropout Prevention Network Conference</w:t>
      </w:r>
    </w:p>
    <w:p w:rsidR="00530DA3" w:rsidRPr="00530DA3" w:rsidRDefault="00530DA3" w:rsidP="00530DA3">
      <w:pPr>
        <w:pStyle w:val="ListParagraph"/>
        <w:numPr>
          <w:ilvl w:val="1"/>
          <w:numId w:val="1"/>
        </w:numPr>
      </w:pPr>
      <w:r w:rsidRPr="00530DA3">
        <w:t>Detroit Marriott at Renaissance Center</w:t>
      </w:r>
      <w:r>
        <w:t xml:space="preserve"> October 2-5, 2016</w:t>
      </w:r>
    </w:p>
    <w:p w:rsidR="00530DA3" w:rsidRDefault="00C625F3" w:rsidP="00530DA3">
      <w:pPr>
        <w:pStyle w:val="ListParagraph"/>
        <w:numPr>
          <w:ilvl w:val="1"/>
          <w:numId w:val="1"/>
        </w:numPr>
        <w:rPr>
          <w:u w:val="single"/>
        </w:rPr>
      </w:pPr>
      <w:hyperlink r:id="rId25" w:history="1">
        <w:r w:rsidR="00530DA3" w:rsidRPr="00CB2715">
          <w:rPr>
            <w:rStyle w:val="Hyperlink"/>
          </w:rPr>
          <w:t>http://dropoutprevention.org/conferences/2016-national-dropout-prevention-network-conference/</w:t>
        </w:r>
      </w:hyperlink>
    </w:p>
    <w:p w:rsidR="00F37428" w:rsidRPr="006F2179" w:rsidRDefault="00F37428" w:rsidP="006F2179">
      <w:pPr>
        <w:rPr>
          <w:u w:val="single"/>
        </w:rPr>
      </w:pPr>
    </w:p>
    <w:sectPr w:rsidR="00F37428" w:rsidRPr="006F2179" w:rsidSect="00612631">
      <w:headerReference w:type="even" r:id="rId26"/>
      <w:headerReference w:type="default" r:id="rId27"/>
      <w:footerReference w:type="even" r:id="rId28"/>
      <w:footerReference w:type="default" r:id="rId29"/>
      <w:headerReference w:type="first" r:id="rId30"/>
      <w:footerReference w:type="first" r:id="rId3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5F3" w:rsidRDefault="00C625F3" w:rsidP="000B2987">
      <w:pPr>
        <w:spacing w:after="0" w:line="240" w:lineRule="auto"/>
      </w:pPr>
      <w:r>
        <w:separator/>
      </w:r>
    </w:p>
  </w:endnote>
  <w:endnote w:type="continuationSeparator" w:id="0">
    <w:p w:rsidR="00C625F3" w:rsidRDefault="00C625F3" w:rsidP="000B2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987" w:rsidRDefault="000B29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4978324"/>
      <w:docPartObj>
        <w:docPartGallery w:val="Page Numbers (Bottom of Page)"/>
        <w:docPartUnique/>
      </w:docPartObj>
    </w:sdtPr>
    <w:sdtEndPr>
      <w:rPr>
        <w:noProof/>
      </w:rPr>
    </w:sdtEndPr>
    <w:sdtContent>
      <w:p w:rsidR="000B2987" w:rsidRDefault="000B2987">
        <w:pPr>
          <w:pStyle w:val="Footer"/>
          <w:jc w:val="center"/>
        </w:pPr>
        <w:r>
          <w:fldChar w:fldCharType="begin"/>
        </w:r>
        <w:r>
          <w:instrText xml:space="preserve"> PAGE   \* MERGEFORMAT </w:instrText>
        </w:r>
        <w:r>
          <w:fldChar w:fldCharType="separate"/>
        </w:r>
        <w:r w:rsidR="003F0E5B">
          <w:rPr>
            <w:noProof/>
          </w:rPr>
          <w:t>4</w:t>
        </w:r>
        <w:r>
          <w:rPr>
            <w:noProof/>
          </w:rPr>
          <w:fldChar w:fldCharType="end"/>
        </w:r>
      </w:p>
    </w:sdtContent>
  </w:sdt>
  <w:p w:rsidR="000B2987" w:rsidRDefault="000B29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987" w:rsidRDefault="000B29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5F3" w:rsidRDefault="00C625F3" w:rsidP="000B2987">
      <w:pPr>
        <w:spacing w:after="0" w:line="240" w:lineRule="auto"/>
      </w:pPr>
      <w:r>
        <w:separator/>
      </w:r>
    </w:p>
  </w:footnote>
  <w:footnote w:type="continuationSeparator" w:id="0">
    <w:p w:rsidR="00C625F3" w:rsidRDefault="00C625F3" w:rsidP="000B29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987" w:rsidRDefault="000B29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987" w:rsidRDefault="000B29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987" w:rsidRDefault="000B29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A265E3"/>
    <w:multiLevelType w:val="hybridMultilevel"/>
    <w:tmpl w:val="EBD28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EC1F5A"/>
    <w:multiLevelType w:val="multilevel"/>
    <w:tmpl w:val="F8743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AC200BF"/>
    <w:multiLevelType w:val="multilevel"/>
    <w:tmpl w:val="AF8E5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631"/>
    <w:rsid w:val="00017B2E"/>
    <w:rsid w:val="00023BCB"/>
    <w:rsid w:val="000602BC"/>
    <w:rsid w:val="000B2987"/>
    <w:rsid w:val="000D4F03"/>
    <w:rsid w:val="000D5D48"/>
    <w:rsid w:val="001A6F5B"/>
    <w:rsid w:val="001C7084"/>
    <w:rsid w:val="00205160"/>
    <w:rsid w:val="0023678D"/>
    <w:rsid w:val="0026018A"/>
    <w:rsid w:val="00281A10"/>
    <w:rsid w:val="002D6631"/>
    <w:rsid w:val="003C15DC"/>
    <w:rsid w:val="003F0E5B"/>
    <w:rsid w:val="00452247"/>
    <w:rsid w:val="004B48AB"/>
    <w:rsid w:val="004F4BC3"/>
    <w:rsid w:val="005075AE"/>
    <w:rsid w:val="005166FA"/>
    <w:rsid w:val="00530DA3"/>
    <w:rsid w:val="005657E7"/>
    <w:rsid w:val="005965B5"/>
    <w:rsid w:val="00596E0E"/>
    <w:rsid w:val="005B4172"/>
    <w:rsid w:val="005F26BB"/>
    <w:rsid w:val="005F3F50"/>
    <w:rsid w:val="0060378C"/>
    <w:rsid w:val="00612344"/>
    <w:rsid w:val="00612631"/>
    <w:rsid w:val="00691174"/>
    <w:rsid w:val="00691EC2"/>
    <w:rsid w:val="006A08D6"/>
    <w:rsid w:val="006B526A"/>
    <w:rsid w:val="006D4A7E"/>
    <w:rsid w:val="006E4543"/>
    <w:rsid w:val="006F2179"/>
    <w:rsid w:val="00730B77"/>
    <w:rsid w:val="0076516A"/>
    <w:rsid w:val="007757C8"/>
    <w:rsid w:val="007802E2"/>
    <w:rsid w:val="007E6520"/>
    <w:rsid w:val="007F40F2"/>
    <w:rsid w:val="00822544"/>
    <w:rsid w:val="00870087"/>
    <w:rsid w:val="008B15AD"/>
    <w:rsid w:val="00933C44"/>
    <w:rsid w:val="009411BC"/>
    <w:rsid w:val="00982A21"/>
    <w:rsid w:val="0098343F"/>
    <w:rsid w:val="009A0F41"/>
    <w:rsid w:val="009A551C"/>
    <w:rsid w:val="009E731C"/>
    <w:rsid w:val="00A62F40"/>
    <w:rsid w:val="00A973EA"/>
    <w:rsid w:val="00AF6609"/>
    <w:rsid w:val="00B534E5"/>
    <w:rsid w:val="00B56866"/>
    <w:rsid w:val="00BE02F4"/>
    <w:rsid w:val="00C0308D"/>
    <w:rsid w:val="00C23542"/>
    <w:rsid w:val="00C45AEE"/>
    <w:rsid w:val="00C625F3"/>
    <w:rsid w:val="00C8455F"/>
    <w:rsid w:val="00C84C5D"/>
    <w:rsid w:val="00CA0E0C"/>
    <w:rsid w:val="00CB55E7"/>
    <w:rsid w:val="00CE69E9"/>
    <w:rsid w:val="00CF79CC"/>
    <w:rsid w:val="00D23FE7"/>
    <w:rsid w:val="00E4087D"/>
    <w:rsid w:val="00E44B8F"/>
    <w:rsid w:val="00E66ACD"/>
    <w:rsid w:val="00EB5C94"/>
    <w:rsid w:val="00ED3CC1"/>
    <w:rsid w:val="00F341C8"/>
    <w:rsid w:val="00F37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A9E0A6-DAFA-4F9C-B835-BC59FF3BB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631"/>
    <w:pPr>
      <w:ind w:left="720"/>
      <w:contextualSpacing/>
    </w:pPr>
  </w:style>
  <w:style w:type="character" w:styleId="Hyperlink">
    <w:name w:val="Hyperlink"/>
    <w:basedOn w:val="DefaultParagraphFont"/>
    <w:uiPriority w:val="99"/>
    <w:unhideWhenUsed/>
    <w:rsid w:val="00612344"/>
    <w:rPr>
      <w:color w:val="0563C1" w:themeColor="hyperlink"/>
      <w:u w:val="single"/>
    </w:rPr>
  </w:style>
  <w:style w:type="character" w:styleId="FollowedHyperlink">
    <w:name w:val="FollowedHyperlink"/>
    <w:basedOn w:val="DefaultParagraphFont"/>
    <w:uiPriority w:val="99"/>
    <w:semiHidden/>
    <w:unhideWhenUsed/>
    <w:rsid w:val="00B534E5"/>
    <w:rPr>
      <w:color w:val="954F72" w:themeColor="followedHyperlink"/>
      <w:u w:val="single"/>
    </w:rPr>
  </w:style>
  <w:style w:type="paragraph" w:styleId="Header">
    <w:name w:val="header"/>
    <w:basedOn w:val="Normal"/>
    <w:link w:val="HeaderChar"/>
    <w:uiPriority w:val="99"/>
    <w:unhideWhenUsed/>
    <w:rsid w:val="000B2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987"/>
  </w:style>
  <w:style w:type="paragraph" w:styleId="Footer">
    <w:name w:val="footer"/>
    <w:basedOn w:val="Normal"/>
    <w:link w:val="FooterChar"/>
    <w:uiPriority w:val="99"/>
    <w:unhideWhenUsed/>
    <w:rsid w:val="000B2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496839">
      <w:bodyDiv w:val="1"/>
      <w:marLeft w:val="0"/>
      <w:marRight w:val="0"/>
      <w:marTop w:val="0"/>
      <w:marBottom w:val="0"/>
      <w:divBdr>
        <w:top w:val="none" w:sz="0" w:space="0" w:color="auto"/>
        <w:left w:val="none" w:sz="0" w:space="0" w:color="auto"/>
        <w:bottom w:val="none" w:sz="0" w:space="0" w:color="auto"/>
        <w:right w:val="none" w:sz="0" w:space="0" w:color="auto"/>
      </w:divBdr>
      <w:divsChild>
        <w:div w:id="1485008625">
          <w:marLeft w:val="0"/>
          <w:marRight w:val="0"/>
          <w:marTop w:val="0"/>
          <w:marBottom w:val="0"/>
          <w:divBdr>
            <w:top w:val="none" w:sz="0" w:space="0" w:color="auto"/>
            <w:left w:val="none" w:sz="0" w:space="0" w:color="auto"/>
            <w:bottom w:val="none" w:sz="0" w:space="0" w:color="auto"/>
            <w:right w:val="none" w:sz="0" w:space="0" w:color="auto"/>
          </w:divBdr>
          <w:divsChild>
            <w:div w:id="1864243731">
              <w:marLeft w:val="0"/>
              <w:marRight w:val="0"/>
              <w:marTop w:val="0"/>
              <w:marBottom w:val="0"/>
              <w:divBdr>
                <w:top w:val="none" w:sz="0" w:space="0" w:color="auto"/>
                <w:left w:val="none" w:sz="0" w:space="0" w:color="auto"/>
                <w:bottom w:val="none" w:sz="0" w:space="0" w:color="auto"/>
                <w:right w:val="none" w:sz="0" w:space="0" w:color="auto"/>
              </w:divBdr>
              <w:divsChild>
                <w:div w:id="1762751135">
                  <w:marLeft w:val="0"/>
                  <w:marRight w:val="0"/>
                  <w:marTop w:val="0"/>
                  <w:marBottom w:val="0"/>
                  <w:divBdr>
                    <w:top w:val="none" w:sz="0" w:space="0" w:color="auto"/>
                    <w:left w:val="none" w:sz="0" w:space="0" w:color="auto"/>
                    <w:bottom w:val="none" w:sz="0" w:space="0" w:color="auto"/>
                    <w:right w:val="none" w:sz="0" w:space="0" w:color="auto"/>
                  </w:divBdr>
                  <w:divsChild>
                    <w:div w:id="1535389882">
                      <w:marLeft w:val="0"/>
                      <w:marRight w:val="0"/>
                      <w:marTop w:val="0"/>
                      <w:marBottom w:val="0"/>
                      <w:divBdr>
                        <w:top w:val="none" w:sz="0" w:space="0" w:color="auto"/>
                        <w:left w:val="none" w:sz="0" w:space="0" w:color="auto"/>
                        <w:bottom w:val="none" w:sz="0" w:space="0" w:color="auto"/>
                        <w:right w:val="none" w:sz="0" w:space="0" w:color="auto"/>
                      </w:divBdr>
                      <w:divsChild>
                        <w:div w:id="1420827635">
                          <w:marLeft w:val="0"/>
                          <w:marRight w:val="0"/>
                          <w:marTop w:val="0"/>
                          <w:marBottom w:val="0"/>
                          <w:divBdr>
                            <w:top w:val="none" w:sz="0" w:space="0" w:color="auto"/>
                            <w:left w:val="none" w:sz="0" w:space="0" w:color="auto"/>
                            <w:bottom w:val="none" w:sz="0" w:space="0" w:color="auto"/>
                            <w:right w:val="none" w:sz="0" w:space="0" w:color="auto"/>
                          </w:divBdr>
                          <w:divsChild>
                            <w:div w:id="213935313">
                              <w:marLeft w:val="0"/>
                              <w:marRight w:val="0"/>
                              <w:marTop w:val="0"/>
                              <w:marBottom w:val="0"/>
                              <w:divBdr>
                                <w:top w:val="single" w:sz="6" w:space="12" w:color="D8E5EA"/>
                                <w:left w:val="none" w:sz="0" w:space="0" w:color="auto"/>
                                <w:bottom w:val="none" w:sz="0" w:space="0" w:color="auto"/>
                                <w:right w:val="none" w:sz="0" w:space="0" w:color="auto"/>
                              </w:divBdr>
                            </w:div>
                          </w:divsChild>
                        </w:div>
                      </w:divsChild>
                    </w:div>
                  </w:divsChild>
                </w:div>
              </w:divsChild>
            </w:div>
          </w:divsChild>
        </w:div>
      </w:divsChild>
    </w:div>
    <w:div w:id="2111925013">
      <w:bodyDiv w:val="1"/>
      <w:marLeft w:val="0"/>
      <w:marRight w:val="0"/>
      <w:marTop w:val="0"/>
      <w:marBottom w:val="0"/>
      <w:divBdr>
        <w:top w:val="none" w:sz="0" w:space="0" w:color="auto"/>
        <w:left w:val="none" w:sz="0" w:space="0" w:color="auto"/>
        <w:bottom w:val="none" w:sz="0" w:space="0" w:color="auto"/>
        <w:right w:val="none" w:sz="0" w:space="0" w:color="auto"/>
      </w:divBdr>
      <w:divsChild>
        <w:div w:id="706880017">
          <w:marLeft w:val="0"/>
          <w:marRight w:val="0"/>
          <w:marTop w:val="0"/>
          <w:marBottom w:val="0"/>
          <w:divBdr>
            <w:top w:val="none" w:sz="0" w:space="0" w:color="auto"/>
            <w:left w:val="none" w:sz="0" w:space="0" w:color="auto"/>
            <w:bottom w:val="none" w:sz="0" w:space="0" w:color="auto"/>
            <w:right w:val="none" w:sz="0" w:space="0" w:color="auto"/>
          </w:divBdr>
          <w:divsChild>
            <w:div w:id="680663376">
              <w:marLeft w:val="0"/>
              <w:marRight w:val="0"/>
              <w:marTop w:val="0"/>
              <w:marBottom w:val="0"/>
              <w:divBdr>
                <w:top w:val="none" w:sz="0" w:space="0" w:color="auto"/>
                <w:left w:val="none" w:sz="0" w:space="0" w:color="auto"/>
                <w:bottom w:val="none" w:sz="0" w:space="0" w:color="auto"/>
                <w:right w:val="none" w:sz="0" w:space="0" w:color="auto"/>
              </w:divBdr>
              <w:divsChild>
                <w:div w:id="569465580">
                  <w:marLeft w:val="0"/>
                  <w:marRight w:val="0"/>
                  <w:marTop w:val="0"/>
                  <w:marBottom w:val="0"/>
                  <w:divBdr>
                    <w:top w:val="none" w:sz="0" w:space="0" w:color="auto"/>
                    <w:left w:val="none" w:sz="0" w:space="0" w:color="auto"/>
                    <w:bottom w:val="none" w:sz="0" w:space="0" w:color="auto"/>
                    <w:right w:val="none" w:sz="0" w:space="0" w:color="auto"/>
                  </w:divBdr>
                  <w:divsChild>
                    <w:div w:id="882446058">
                      <w:marLeft w:val="0"/>
                      <w:marRight w:val="0"/>
                      <w:marTop w:val="0"/>
                      <w:marBottom w:val="0"/>
                      <w:divBdr>
                        <w:top w:val="none" w:sz="0" w:space="0" w:color="auto"/>
                        <w:left w:val="none" w:sz="0" w:space="0" w:color="auto"/>
                        <w:bottom w:val="none" w:sz="0" w:space="0" w:color="auto"/>
                        <w:right w:val="none" w:sz="0" w:space="0" w:color="auto"/>
                      </w:divBdr>
                      <w:divsChild>
                        <w:div w:id="434135425">
                          <w:marLeft w:val="0"/>
                          <w:marRight w:val="0"/>
                          <w:marTop w:val="0"/>
                          <w:marBottom w:val="0"/>
                          <w:divBdr>
                            <w:top w:val="none" w:sz="0" w:space="0" w:color="auto"/>
                            <w:left w:val="none" w:sz="0" w:space="0" w:color="auto"/>
                            <w:bottom w:val="none" w:sz="0" w:space="0" w:color="auto"/>
                            <w:right w:val="none" w:sz="0" w:space="0" w:color="auto"/>
                          </w:divBdr>
                          <w:divsChild>
                            <w:div w:id="920411360">
                              <w:marLeft w:val="0"/>
                              <w:marRight w:val="0"/>
                              <w:marTop w:val="0"/>
                              <w:marBottom w:val="0"/>
                              <w:divBdr>
                                <w:top w:val="none" w:sz="0" w:space="0" w:color="auto"/>
                                <w:left w:val="none" w:sz="0" w:space="0" w:color="auto"/>
                                <w:bottom w:val="none" w:sz="0" w:space="0" w:color="auto"/>
                                <w:right w:val="none" w:sz="0" w:space="0" w:color="auto"/>
                              </w:divBdr>
                              <w:divsChild>
                                <w:div w:id="236521968">
                                  <w:marLeft w:val="0"/>
                                  <w:marRight w:val="0"/>
                                  <w:marTop w:val="0"/>
                                  <w:marBottom w:val="0"/>
                                  <w:divBdr>
                                    <w:top w:val="none" w:sz="0" w:space="0" w:color="auto"/>
                                    <w:left w:val="none" w:sz="0" w:space="0" w:color="auto"/>
                                    <w:bottom w:val="none" w:sz="0" w:space="0" w:color="auto"/>
                                    <w:right w:val="none" w:sz="0" w:space="0" w:color="auto"/>
                                  </w:divBdr>
                                  <w:divsChild>
                                    <w:div w:id="1162356876">
                                      <w:marLeft w:val="0"/>
                                      <w:marRight w:val="0"/>
                                      <w:marTop w:val="0"/>
                                      <w:marBottom w:val="0"/>
                                      <w:divBdr>
                                        <w:top w:val="none" w:sz="0" w:space="0" w:color="auto"/>
                                        <w:left w:val="none" w:sz="0" w:space="0" w:color="auto"/>
                                        <w:bottom w:val="none" w:sz="0" w:space="0" w:color="auto"/>
                                        <w:right w:val="none" w:sz="0" w:space="0" w:color="auto"/>
                                      </w:divBdr>
                                      <w:divsChild>
                                        <w:div w:id="1019702561">
                                          <w:marLeft w:val="0"/>
                                          <w:marRight w:val="0"/>
                                          <w:marTop w:val="0"/>
                                          <w:marBottom w:val="0"/>
                                          <w:divBdr>
                                            <w:top w:val="none" w:sz="0" w:space="0" w:color="auto"/>
                                            <w:left w:val="none" w:sz="0" w:space="0" w:color="auto"/>
                                            <w:bottom w:val="none" w:sz="0" w:space="0" w:color="auto"/>
                                            <w:right w:val="none" w:sz="0" w:space="0" w:color="auto"/>
                                          </w:divBdr>
                                          <w:divsChild>
                                            <w:div w:id="2143496483">
                                              <w:marLeft w:val="0"/>
                                              <w:marRight w:val="0"/>
                                              <w:marTop w:val="0"/>
                                              <w:marBottom w:val="0"/>
                                              <w:divBdr>
                                                <w:top w:val="none" w:sz="0" w:space="0" w:color="auto"/>
                                                <w:left w:val="none" w:sz="0" w:space="0" w:color="auto"/>
                                                <w:bottom w:val="none" w:sz="0" w:space="0" w:color="auto"/>
                                                <w:right w:val="none" w:sz="0" w:space="0" w:color="auto"/>
                                              </w:divBdr>
                                              <w:divsChild>
                                                <w:div w:id="11551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eertech.org/resource-center" TargetMode="External"/><Relationship Id="rId13" Type="http://schemas.openxmlformats.org/officeDocument/2006/relationships/hyperlink" Target="https://careertech.org/sites/default/files/Vision_FinalWeb.pdf" TargetMode="External"/><Relationship Id="rId18" Type="http://schemas.openxmlformats.org/officeDocument/2006/relationships/hyperlink" Target="http://ctepolicywatch.acteonline.org/esea/"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acteonline.org/uploadedFiles/Policy_and_Advocacy/Key_Issues/ESSA_Fact_Sheet_Career%20Readiness%20Accountability.pdf" TargetMode="External"/><Relationship Id="rId7" Type="http://schemas.openxmlformats.org/officeDocument/2006/relationships/endnotes" Target="endnotes.xml"/><Relationship Id="rId12" Type="http://schemas.openxmlformats.org/officeDocument/2006/relationships/hyperlink" Target="http://edworkforce.house.gov/uploadedfiles/strengthening_career_and_technical_education_for_the_21st_century_act.pdf" TargetMode="External"/><Relationship Id="rId17" Type="http://schemas.openxmlformats.org/officeDocument/2006/relationships/hyperlink" Target="http://www.michigan.gov/documents/mde/_MDE_Goals_and_Strategies_2-8-16_514042_7.pdf" TargetMode="External"/><Relationship Id="rId25" Type="http://schemas.openxmlformats.org/officeDocument/2006/relationships/hyperlink" Target="http://dropoutprevention.org/conferences/2016-national-dropout-prevention-network-conferenc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csso.org/Documents/2016/ESSA/CCSSO%20Stakeholder%20Engagement%20Guide%20FINAL.pdf" TargetMode="External"/><Relationship Id="rId20" Type="http://schemas.openxmlformats.org/officeDocument/2006/relationships/hyperlink" Target="https://www.acteonline.org/uploadedFiles/Policy_and_Advocacy/Key_Issues/ESSA_Fact_Sheet_Career%20Guidance%20and%20Counseling.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gress.gov/114/bills/hr5587/BILLS-114hr5587ih.pdf" TargetMode="External"/><Relationship Id="rId24" Type="http://schemas.openxmlformats.org/officeDocument/2006/relationships/hyperlink" Target="http://www.acteonline.org/high-qualityCT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csso.org/Documents/2014/CCSSOTaskForceCareerReadiness120114.pdf" TargetMode="External"/><Relationship Id="rId23" Type="http://schemas.openxmlformats.org/officeDocument/2006/relationships/hyperlink" Target="http://www.acteonline.org/uploadedFiles/What_is_CTE/High-qualityCTEFramework-Draft1.0-Nov2015.pdf" TargetMode="External"/><Relationship Id="rId28" Type="http://schemas.openxmlformats.org/officeDocument/2006/relationships/footer" Target="footer1.xml"/><Relationship Id="rId10" Type="http://schemas.openxmlformats.org/officeDocument/2006/relationships/hyperlink" Target="https://careertech.org/sites/default/files/H.R.%205587%20Summary%20%26%20Analysis_FINAL.pdf" TargetMode="External"/><Relationship Id="rId19" Type="http://schemas.openxmlformats.org/officeDocument/2006/relationships/hyperlink" Target="https://www.acteonline.org/uploadedFiles/Policy_and_Advocacy/Key_Issues/ESSA_Fact_Sheet_Academics%20and%20CTE%20in%20the%20Classroom.pdf"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careertech.org/perkins" TargetMode="External"/><Relationship Id="rId14" Type="http://schemas.openxmlformats.org/officeDocument/2006/relationships/hyperlink" Target="https://www.careertech.org/resource-center" TargetMode="External"/><Relationship Id="rId22" Type="http://schemas.openxmlformats.org/officeDocument/2006/relationships/hyperlink" Target="https://www.acteonline.org/uploadedFiles/Policy_and_Advocacy/Key_Issues/ESSA_Fact_Sheet_Teacher%20Recruitment.pdf"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A1F1D-2E7E-4B1D-A152-1FBAE55D8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1624</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10866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Kroll, Jill (MDE)</dc:creator>
  <cp:keywords/>
  <dc:description/>
  <cp:lastModifiedBy>Kroll, Jill (MDE)</cp:lastModifiedBy>
  <cp:revision>16</cp:revision>
  <dcterms:created xsi:type="dcterms:W3CDTF">2016-08-01T14:06:00Z</dcterms:created>
  <dcterms:modified xsi:type="dcterms:W3CDTF">2016-08-01T15:34:00Z</dcterms:modified>
</cp:coreProperties>
</file>